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900F" w14:textId="77777777" w:rsidR="00EA2FBA" w:rsidRPr="00EA2FBA" w:rsidRDefault="00EA2FBA" w:rsidP="00EA2FBA">
      <w:r w:rsidRPr="00EA2FBA">
        <w:t>DENTEX DX.FLOW</w:t>
      </w:r>
    </w:p>
    <w:p w14:paraId="598792CC" w14:textId="77777777" w:rsidR="00EA2FBA" w:rsidRPr="00EA2FBA" w:rsidRDefault="00EA2FBA" w:rsidP="00EA2FBA">
      <w:r w:rsidRPr="00EA2FBA">
        <w:t> </w:t>
      </w:r>
    </w:p>
    <w:p w14:paraId="3E7BE146" w14:textId="10931747" w:rsidR="00EA2FBA" w:rsidRPr="00EA2FBA" w:rsidRDefault="00EA2FBA" w:rsidP="00EA2FBA">
      <w:r w:rsidRPr="00EA2FBA">
        <w:t xml:space="preserve">DX.FLOW </w:t>
      </w:r>
      <w:r>
        <w:t xml:space="preserve"> е с</w:t>
      </w:r>
      <w:r w:rsidRPr="00EA2FBA">
        <w:t>ветлинно полимеризиращите дентални композитни смоли се състоят от метилметакрилатни мономери, неорганичен пълнител и наночастици. Благодарение на отличните си течливи и тиксотропни свойства, те могат да се използват за малка площ, която не може да бъде достигната чрез прилагане на други композити. </w:t>
      </w:r>
    </w:p>
    <w:p w14:paraId="317E1445" w14:textId="77777777" w:rsidR="00EA2FBA" w:rsidRPr="00EA2FBA" w:rsidRDefault="00EA2FBA" w:rsidP="00EA2FBA">
      <w:r w:rsidRPr="00EA2FBA">
        <w:pict w14:anchorId="03812CA0">
          <v:rect id="_x0000_i1025" style="width:0;height:1.5pt" o:hralign="center" o:hrstd="t" o:hr="t" fillcolor="#a0a0a0" stroked="f"/>
        </w:pict>
      </w:r>
    </w:p>
    <w:p w14:paraId="3FDC941D" w14:textId="2BCD2345" w:rsidR="00EA2FBA" w:rsidRPr="00EA2FBA" w:rsidRDefault="00EA2FBA" w:rsidP="00EA2FBA">
      <w:r w:rsidRPr="00EA2FBA">
        <w:t>ПАКОВКИ: </w:t>
      </w:r>
    </w:p>
    <w:p w14:paraId="0C2B0164" w14:textId="77777777" w:rsidR="00EA2FBA" w:rsidRPr="00EA2FBA" w:rsidRDefault="00EA2FBA" w:rsidP="00EA2FBA">
      <w:pPr>
        <w:numPr>
          <w:ilvl w:val="0"/>
          <w:numId w:val="1"/>
        </w:numPr>
      </w:pPr>
      <w:r w:rsidRPr="00EA2FBA">
        <w:rPr>
          <w:b/>
          <w:bCs/>
        </w:rPr>
        <w:t>Пълнител</w:t>
      </w:r>
      <w:r w:rsidRPr="00EA2FBA">
        <w:t>: 3.0g/спринцовка, 2.5g/спринцовка, 2.0g/спринцовка, 1.5g/спринцовка</w:t>
      </w:r>
    </w:p>
    <w:p w14:paraId="68E11F89" w14:textId="77777777" w:rsidR="00EA2FBA" w:rsidRPr="00EA2FBA" w:rsidRDefault="00EA2FBA" w:rsidP="00EA2FBA">
      <w:pPr>
        <w:numPr>
          <w:ilvl w:val="0"/>
          <w:numId w:val="1"/>
        </w:numPr>
      </w:pPr>
      <w:r w:rsidRPr="00EA2FBA">
        <w:rPr>
          <w:b/>
          <w:bCs/>
        </w:rPr>
        <w:t>Оттенък</w:t>
      </w:r>
      <w:r w:rsidRPr="00EA2FBA">
        <w:t>: съответстващ на VITA CLASSIC нюанси</w:t>
      </w:r>
    </w:p>
    <w:p w14:paraId="1F83AC2E" w14:textId="77777777" w:rsidR="00EA2FBA" w:rsidRPr="00EA2FBA" w:rsidRDefault="00EA2FBA" w:rsidP="00EA2FBA">
      <w:pPr>
        <w:numPr>
          <w:ilvl w:val="1"/>
          <w:numId w:val="1"/>
        </w:numPr>
      </w:pPr>
      <w:r w:rsidRPr="00EA2FBA">
        <w:rPr>
          <w:b/>
          <w:bCs/>
        </w:rPr>
        <w:t>Среден поток</w:t>
      </w:r>
      <w:r w:rsidRPr="00EA2FBA">
        <w:t>: A1, A2, A3, A3.5, OA2, OA3</w:t>
      </w:r>
    </w:p>
    <w:p w14:paraId="19711949" w14:textId="77777777" w:rsidR="00EA2FBA" w:rsidRPr="00EA2FBA" w:rsidRDefault="00EA2FBA" w:rsidP="00EA2FBA">
      <w:pPr>
        <w:numPr>
          <w:ilvl w:val="1"/>
          <w:numId w:val="1"/>
        </w:numPr>
      </w:pPr>
      <w:r w:rsidRPr="00EA2FBA">
        <w:rPr>
          <w:b/>
          <w:bCs/>
        </w:rPr>
        <w:t>Висок поток</w:t>
      </w:r>
      <w:r w:rsidRPr="00EA2FBA">
        <w:t>: A1, A2, A3, A3.5</w:t>
      </w:r>
    </w:p>
    <w:p w14:paraId="22E3BE51" w14:textId="77777777" w:rsidR="00EA2FBA" w:rsidRPr="00EA2FBA" w:rsidRDefault="00EA2FBA" w:rsidP="00EA2FBA">
      <w:pPr>
        <w:numPr>
          <w:ilvl w:val="1"/>
          <w:numId w:val="1"/>
        </w:numPr>
      </w:pPr>
      <w:r w:rsidRPr="00EA2FBA">
        <w:rPr>
          <w:b/>
          <w:bCs/>
        </w:rPr>
        <w:t>Супер нисък поток</w:t>
      </w:r>
      <w:r w:rsidRPr="00EA2FBA">
        <w:t>: A1, A2, A3, A3.5 </w:t>
      </w:r>
    </w:p>
    <w:p w14:paraId="1608F721" w14:textId="77777777" w:rsidR="00EA2FBA" w:rsidRPr="00EA2FBA" w:rsidRDefault="00EA2FBA" w:rsidP="00EA2FBA">
      <w:r w:rsidRPr="00EA2FBA">
        <w:pict w14:anchorId="028E48D9">
          <v:rect id="_x0000_i1035" style="width:0;height:1.5pt" o:hralign="center" o:hrstd="t" o:hr="t" fillcolor="#a0a0a0" stroked="f"/>
        </w:pict>
      </w:r>
    </w:p>
    <w:p w14:paraId="70FD6E53" w14:textId="77777777" w:rsidR="00EA2FBA" w:rsidRPr="00EA2FBA" w:rsidRDefault="00EA2FBA" w:rsidP="00EA2FBA">
      <w:r w:rsidRPr="00EA2FBA">
        <w:t>СЪСТАВ: </w:t>
      </w:r>
    </w:p>
    <w:p w14:paraId="457E4EFA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t>BisGMA;</w:t>
      </w:r>
    </w:p>
    <w:p w14:paraId="19A8AB28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rPr>
          <w:b/>
          <w:bCs/>
        </w:rPr>
        <w:t>Неорганичен пълнител</w:t>
      </w:r>
      <w:r w:rsidRPr="00EA2FBA">
        <w:t>: Бариево стъкло;</w:t>
      </w:r>
    </w:p>
    <w:p w14:paraId="76BAEB4E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rPr>
          <w:b/>
          <w:bCs/>
        </w:rPr>
        <w:t>Наночастици</w:t>
      </w:r>
      <w:r w:rsidRPr="00EA2FBA">
        <w:t>: нано-силициев диоксид;</w:t>
      </w:r>
    </w:p>
    <w:p w14:paraId="7BE1FE00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rPr>
          <w:b/>
          <w:bCs/>
        </w:rPr>
        <w:t>Фотоинициатор</w:t>
      </w:r>
      <w:r w:rsidRPr="00EA2FBA">
        <w:t>;</w:t>
      </w:r>
    </w:p>
    <w:p w14:paraId="27DA5125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rPr>
          <w:b/>
          <w:bCs/>
        </w:rPr>
        <w:t>Стабилизатор</w:t>
      </w:r>
      <w:r w:rsidRPr="00EA2FBA">
        <w:t>;</w:t>
      </w:r>
    </w:p>
    <w:p w14:paraId="7D67B7C1" w14:textId="77777777" w:rsidR="00EA2FBA" w:rsidRPr="00EA2FBA" w:rsidRDefault="00EA2FBA" w:rsidP="00EA2FBA">
      <w:pPr>
        <w:numPr>
          <w:ilvl w:val="0"/>
          <w:numId w:val="2"/>
        </w:numPr>
      </w:pPr>
      <w:r w:rsidRPr="00EA2FBA">
        <w:rPr>
          <w:b/>
          <w:bCs/>
        </w:rPr>
        <w:t>Тин</w:t>
      </w:r>
      <w:r w:rsidRPr="00EA2FBA">
        <w:t>. </w:t>
      </w:r>
    </w:p>
    <w:p w14:paraId="0F01539D" w14:textId="77777777" w:rsidR="00EA2FBA" w:rsidRPr="00EA2FBA" w:rsidRDefault="00EA2FBA" w:rsidP="00EA2FBA">
      <w:r w:rsidRPr="00EA2FBA">
        <w:pict w14:anchorId="278D4FFA">
          <v:rect id="_x0000_i1036" style="width:0;height:1.5pt" o:hralign="center" o:hrstd="t" o:hr="t" fillcolor="#a0a0a0" stroked="f"/>
        </w:pict>
      </w:r>
    </w:p>
    <w:p w14:paraId="40F1621C" w14:textId="77777777" w:rsidR="00EA2FBA" w:rsidRPr="00EA2FBA" w:rsidRDefault="00EA2FBA" w:rsidP="00EA2FBA">
      <w:r w:rsidRPr="00EA2FBA">
        <w:t>ВЪНШЕН ВИД: </w:t>
      </w:r>
    </w:p>
    <w:p w14:paraId="074DAF3B" w14:textId="77777777" w:rsidR="00EA2FBA" w:rsidRPr="00EA2FBA" w:rsidRDefault="00EA2FBA" w:rsidP="00EA2FBA">
      <w:r w:rsidRPr="00EA2FBA">
        <w:t>Светло жълта вискозна паста. </w:t>
      </w:r>
    </w:p>
    <w:p w14:paraId="4A4822DB" w14:textId="77777777" w:rsidR="00EA2FBA" w:rsidRPr="00EA2FBA" w:rsidRDefault="00EA2FBA" w:rsidP="00EA2FBA">
      <w:r w:rsidRPr="00EA2FBA">
        <w:pict w14:anchorId="7341E490">
          <v:rect id="_x0000_i1037" style="width:0;height:1.5pt" o:hralign="center" o:hrstd="t" o:hr="t" fillcolor="#a0a0a0" stroked="f"/>
        </w:pict>
      </w:r>
    </w:p>
    <w:p w14:paraId="4C6DFCC8" w14:textId="77777777" w:rsidR="00EA2FBA" w:rsidRPr="00EA2FBA" w:rsidRDefault="00EA2FBA" w:rsidP="00EA2FBA">
      <w:r w:rsidRPr="00EA2FBA">
        <w:t>ФУНКЦИЯ: </w:t>
      </w:r>
    </w:p>
    <w:p w14:paraId="32875A9A" w14:textId="77777777" w:rsidR="00EA2FBA" w:rsidRPr="00EA2FBA" w:rsidRDefault="00EA2FBA" w:rsidP="00EA2FBA">
      <w:r w:rsidRPr="00EA2FBA">
        <w:t>След подготовка и пълнене се прилага синя светлина за иницииране на бърза полимеризация със свободни радикали, генерирайки органична смола и композит от неорганичен пълнител, който демонстрира голяма здравина и естетичен вид като истински зъб. </w:t>
      </w:r>
    </w:p>
    <w:p w14:paraId="0DAB8689" w14:textId="77777777" w:rsidR="00EA2FBA" w:rsidRPr="00EA2FBA" w:rsidRDefault="00EA2FBA" w:rsidP="00EA2FBA">
      <w:r w:rsidRPr="00EA2FBA">
        <w:pict w14:anchorId="41EA68BD">
          <v:rect id="_x0000_i1038" style="width:0;height:1.5pt" o:hralign="center" o:hrstd="t" o:hr="t" fillcolor="#a0a0a0" stroked="f"/>
        </w:pict>
      </w:r>
    </w:p>
    <w:p w14:paraId="0854FF47" w14:textId="77777777" w:rsidR="00EA2FBA" w:rsidRPr="00EA2FBA" w:rsidRDefault="00EA2FBA" w:rsidP="00EA2FBA">
      <w:r w:rsidRPr="00EA2FBA">
        <w:t>ПОКАЗАНИЯ ЗА УПОТРЕБА: </w:t>
      </w:r>
    </w:p>
    <w:p w14:paraId="3FD20189" w14:textId="77777777" w:rsidR="00EA2FBA" w:rsidRPr="00EA2FBA" w:rsidRDefault="00EA2FBA" w:rsidP="00EA2FBA">
      <w:r w:rsidRPr="00EA2FBA">
        <w:t>Идеален за възстановявания от клас III, клас V и някои по-малки ненатоварващи възстановявания от клас IV; уплътнител за ямки и фисури; индиректни инлеи и онлеи; ремонт на порцелан. </w:t>
      </w:r>
    </w:p>
    <w:p w14:paraId="7691CE31" w14:textId="77777777" w:rsidR="00EA2FBA" w:rsidRPr="00EA2FBA" w:rsidRDefault="00EA2FBA" w:rsidP="00EA2FBA">
      <w:r w:rsidRPr="00EA2FBA">
        <w:lastRenderedPageBreak/>
        <w:pict w14:anchorId="58C10163">
          <v:rect id="_x0000_i1039" style="width:0;height:1.5pt" o:hralign="center" o:hrstd="t" o:hr="t" fillcolor="#a0a0a0" stroked="f"/>
        </w:pict>
      </w:r>
    </w:p>
    <w:p w14:paraId="52A01D71" w14:textId="77777777" w:rsidR="00EA2FBA" w:rsidRPr="00EA2FBA" w:rsidRDefault="00EA2FBA" w:rsidP="00EA2FBA">
      <w:r w:rsidRPr="00EA2FBA">
        <w:t>ИНСТРУКЦИИ: </w:t>
      </w:r>
    </w:p>
    <w:p w14:paraId="63966AC4" w14:textId="77777777" w:rsidR="00EA2FBA" w:rsidRPr="00EA2FBA" w:rsidRDefault="00EA2FBA" w:rsidP="00EA2FBA">
      <w:r w:rsidRPr="00EA2FBA">
        <w:t xml:space="preserve">(1) </w:t>
      </w:r>
      <w:r w:rsidRPr="00EA2FBA">
        <w:rPr>
          <w:b/>
          <w:bCs/>
        </w:rPr>
        <w:t>Подготовка</w:t>
      </w:r>
      <w:r w:rsidRPr="00EA2FBA">
        <w:t>: изолирайте и подгответе зъба.</w:t>
      </w:r>
      <w:r w:rsidRPr="00EA2FBA">
        <w:br/>
        <w:t xml:space="preserve">(2) </w:t>
      </w:r>
      <w:r w:rsidRPr="00EA2FBA">
        <w:rPr>
          <w:b/>
          <w:bCs/>
        </w:rPr>
        <w:t>Почистване</w:t>
      </w:r>
      <w:r w:rsidRPr="00EA2FBA">
        <w:t>: изплакнете препарацията с вода.</w:t>
      </w:r>
      <w:r w:rsidRPr="00EA2FBA">
        <w:br/>
        <w:t xml:space="preserve">(3) </w:t>
      </w:r>
      <w:r w:rsidRPr="00EA2FBA">
        <w:rPr>
          <w:b/>
          <w:bCs/>
        </w:rPr>
        <w:t>Изсушаване</w:t>
      </w:r>
      <w:r w:rsidRPr="00EA2FBA">
        <w:t>: внимателно изсушете с въздух, докато не се види вода. Не позволявайте на емайла или дентина да изсъхнат прекомерно дълго време.</w:t>
      </w:r>
      <w:r w:rsidRPr="00EA2FBA">
        <w:br/>
        <w:t xml:space="preserve">(4) </w:t>
      </w:r>
      <w:r w:rsidRPr="00EA2FBA">
        <w:rPr>
          <w:b/>
          <w:bCs/>
        </w:rPr>
        <w:t>Нанасяне на DX.BOND VII Саморазяждащ се светлинно полимеризиращ адхезив (DSA)</w:t>
      </w:r>
      <w:r w:rsidRPr="00EA2FBA">
        <w:t>: капнете 1-2 капки DSA в смесителна ямка, нанесете достатъчно DSA върху цялата препарация с малка четчица, докато се постигне лъскава повърхност, и след това изчакайте 10 секунди (DSA не трябва да се прилага прекалено много). Използвайте лека струя въздух, за да изпарите разтворителя за 5 секунди (Ако използвате несаморазяждащ адхезив, трябва да се използва стъпка на ецване съгласно инструкциите на производителя)</w:t>
      </w:r>
      <w:r w:rsidRPr="00EA2FBA">
        <w:br/>
        <w:t xml:space="preserve">(5) </w:t>
      </w:r>
      <w:r w:rsidRPr="00EA2FBA">
        <w:rPr>
          <w:b/>
          <w:bCs/>
        </w:rPr>
        <w:t>Полимеризиране</w:t>
      </w:r>
      <w:r w:rsidRPr="00EA2FBA">
        <w:t xml:space="preserve">: светлинно полимеризиране за </w:t>
      </w:r>
      <w:r w:rsidRPr="00EA2FBA">
        <w:rPr>
          <w:b/>
          <w:bCs/>
        </w:rPr>
        <w:t>20 секунди</w:t>
      </w:r>
      <w:r w:rsidRPr="00EA2FBA">
        <w:t xml:space="preserve"> при 500 ± 50mW/cm². Поддържайте разстоянието до изложената повърхност по-малко от 4 mm.</w:t>
      </w:r>
      <w:r w:rsidRPr="00EA2FBA">
        <w:br/>
        <w:t xml:space="preserve">(6) </w:t>
      </w:r>
      <w:r w:rsidRPr="00EA2FBA">
        <w:rPr>
          <w:b/>
          <w:bCs/>
        </w:rPr>
        <w:t>Нанасяне на DX.FLOW Нано течлив светлинно полимеризиращ композит (FLC)</w:t>
      </w:r>
      <w:r w:rsidRPr="00EA2FBA">
        <w:t xml:space="preserve">: поставете избрания FLC в препарацията на кухината, последвано от </w:t>
      </w:r>
      <w:r w:rsidRPr="00EA2FBA">
        <w:rPr>
          <w:b/>
          <w:bCs/>
        </w:rPr>
        <w:t>20 секунди</w:t>
      </w:r>
      <w:r w:rsidRPr="00EA2FBA">
        <w:t xml:space="preserve"> светлинно полимеризиране. Дълбочината на полимеризация е около 2.5 mm за 20 секунди полимеризиране. (За да се намали напрежението при свиване, за голяма кухина се препоръчва пълнене на слоеве. Обикновено се поставят слоеве от 1-2 mm в препарацията на кухината от различни страни и възстановяването се изгражда на слоеве. Всеки слой се полимеризира със светлина за </w:t>
      </w:r>
      <w:r w:rsidRPr="00EA2FBA">
        <w:rPr>
          <w:b/>
          <w:bCs/>
        </w:rPr>
        <w:t>20 секунди</w:t>
      </w:r>
      <w:r w:rsidRPr="00EA2FBA">
        <w:t>.) За OA2 и OA3.</w:t>
      </w:r>
      <w:r w:rsidRPr="00EA2FBA">
        <w:br/>
        <w:t xml:space="preserve">(7) </w:t>
      </w:r>
      <w:r w:rsidRPr="00EA2FBA">
        <w:rPr>
          <w:b/>
          <w:bCs/>
        </w:rPr>
        <w:t>Завършване</w:t>
      </w:r>
      <w:r w:rsidRPr="00EA2FBA">
        <w:t>: след светлинно полимеризиране, коригирайте възстановяването.</w:t>
      </w:r>
      <w:r w:rsidRPr="00EA2FBA">
        <w:br/>
        <w:t xml:space="preserve">(8) </w:t>
      </w:r>
      <w:r w:rsidRPr="00EA2FBA">
        <w:rPr>
          <w:b/>
          <w:bCs/>
        </w:rPr>
        <w:t>Полиране</w:t>
      </w:r>
      <w:r w:rsidRPr="00EA2FBA">
        <w:t>: използвайте полираща лента или диск за полиране на повърхността. </w:t>
      </w:r>
    </w:p>
    <w:p w14:paraId="1C8ABE91" w14:textId="77777777" w:rsidR="00EA2FBA" w:rsidRPr="00EA2FBA" w:rsidRDefault="00EA2FBA" w:rsidP="00EA2FBA">
      <w:r w:rsidRPr="00EA2FBA">
        <w:pict w14:anchorId="7F5F0DED">
          <v:rect id="_x0000_i1040" style="width:0;height:1.5pt" o:hralign="center" o:hrstd="t" o:hr="t" fillcolor="#a0a0a0" stroked="f"/>
        </w:pict>
      </w:r>
    </w:p>
    <w:p w14:paraId="11BD8098" w14:textId="77777777" w:rsidR="00EA2FBA" w:rsidRPr="00EA2FBA" w:rsidRDefault="00EA2FBA" w:rsidP="00EA2FBA">
      <w:r w:rsidRPr="00EA2FBA">
        <w:t>ПРЕДУПРЕЖДЕНИЕ: </w:t>
      </w:r>
    </w:p>
    <w:p w14:paraId="2DFAF860" w14:textId="77777777" w:rsidR="00EA2FBA" w:rsidRPr="00EA2FBA" w:rsidRDefault="00EA2FBA" w:rsidP="00EA2FBA">
      <w:pPr>
        <w:numPr>
          <w:ilvl w:val="0"/>
          <w:numId w:val="3"/>
        </w:numPr>
      </w:pPr>
      <w:r w:rsidRPr="00EA2FBA">
        <w:t xml:space="preserve">Не използвайте този продукт за пациент, който е алергичен към </w:t>
      </w:r>
      <w:r w:rsidRPr="00EA2FBA">
        <w:rPr>
          <w:b/>
          <w:bCs/>
        </w:rPr>
        <w:t>метилметакрилат</w:t>
      </w:r>
      <w:r w:rsidRPr="00EA2FBA">
        <w:t>.</w:t>
      </w:r>
    </w:p>
    <w:p w14:paraId="10173459" w14:textId="77777777" w:rsidR="00EA2FBA" w:rsidRPr="00EA2FBA" w:rsidRDefault="00EA2FBA" w:rsidP="00EA2FBA">
      <w:pPr>
        <w:numPr>
          <w:ilvl w:val="0"/>
          <w:numId w:val="3"/>
        </w:numPr>
      </w:pPr>
      <w:r w:rsidRPr="00EA2FBA">
        <w:t xml:space="preserve">Не използвайте този продукт с какъвто и да е материал, съдържащ </w:t>
      </w:r>
      <w:r w:rsidRPr="00EA2FBA">
        <w:rPr>
          <w:b/>
          <w:bCs/>
        </w:rPr>
        <w:t>евгенол</w:t>
      </w:r>
      <w:r w:rsidRPr="00EA2FBA">
        <w:t>. </w:t>
      </w:r>
    </w:p>
    <w:p w14:paraId="653FFA05" w14:textId="77777777" w:rsidR="00EA2FBA" w:rsidRPr="00EA2FBA" w:rsidRDefault="00EA2FBA" w:rsidP="00EA2FBA">
      <w:r w:rsidRPr="00EA2FBA">
        <w:pict w14:anchorId="7CA62A91">
          <v:rect id="_x0000_i1041" style="width:0;height:1.5pt" o:hralign="center" o:hrstd="t" o:hr="t" fillcolor="#a0a0a0" stroked="f"/>
        </w:pict>
      </w:r>
    </w:p>
    <w:p w14:paraId="62677ACA" w14:textId="77777777" w:rsidR="00EA2FBA" w:rsidRPr="00EA2FBA" w:rsidRDefault="00EA2FBA" w:rsidP="00EA2FBA">
      <w:r w:rsidRPr="00EA2FBA">
        <w:t>ПРЕДПАЗНИ МЕРКИ: </w:t>
      </w:r>
    </w:p>
    <w:p w14:paraId="36DE8395" w14:textId="77777777" w:rsidR="00EA2FBA" w:rsidRPr="00EA2FBA" w:rsidRDefault="00EA2FBA" w:rsidP="00EA2FBA">
      <w:r w:rsidRPr="00EA2FBA">
        <w:t xml:space="preserve">Смолите на метилметакрилат могат да причинят </w:t>
      </w:r>
      <w:r w:rsidRPr="00EA2FBA">
        <w:rPr>
          <w:b/>
          <w:bCs/>
        </w:rPr>
        <w:t>сенсибилизация на кожата</w:t>
      </w:r>
      <w:r w:rsidRPr="00EA2FBA">
        <w:t xml:space="preserve"> при податливи хора. В случай на контакт, измийте кожата със сапун и вода. В сериозна ситуация, потърсете медицинска помощ. </w:t>
      </w:r>
    </w:p>
    <w:p w14:paraId="116AA9B2" w14:textId="77777777" w:rsidR="00EA2FBA" w:rsidRPr="00EA2FBA" w:rsidRDefault="00EA2FBA" w:rsidP="00EA2FBA">
      <w:r w:rsidRPr="00EA2FBA">
        <w:pict w14:anchorId="0DBBE50E">
          <v:rect id="_x0000_i1042" style="width:0;height:1.5pt" o:hralign="center" o:hrstd="t" o:hr="t" fillcolor="#a0a0a0" stroked="f"/>
        </w:pict>
      </w:r>
    </w:p>
    <w:p w14:paraId="43FCDED7" w14:textId="77777777" w:rsidR="00EA2FBA" w:rsidRPr="00EA2FBA" w:rsidRDefault="00EA2FBA" w:rsidP="00EA2FBA">
      <w:r w:rsidRPr="00EA2FBA">
        <w:t>ВНИМАНИЕ: </w:t>
      </w:r>
    </w:p>
    <w:p w14:paraId="56FDBB64" w14:textId="77777777" w:rsidR="00EA2FBA" w:rsidRPr="00EA2FBA" w:rsidRDefault="00EA2FBA" w:rsidP="00EA2FBA">
      <w:r w:rsidRPr="00EA2FBA">
        <w:t xml:space="preserve">При открита пулпа може да се използва материал за покриване на пулпата, като например </w:t>
      </w:r>
      <w:r w:rsidRPr="00EA2FBA">
        <w:rPr>
          <w:b/>
          <w:bCs/>
        </w:rPr>
        <w:t>калциев хидроксид</w:t>
      </w:r>
      <w:r w:rsidRPr="00EA2FBA">
        <w:t>, преди да се използва този продукт. </w:t>
      </w:r>
    </w:p>
    <w:p w14:paraId="5F0ACAA3" w14:textId="77777777" w:rsidR="00EA2FBA" w:rsidRPr="00EA2FBA" w:rsidRDefault="00EA2FBA" w:rsidP="00EA2FBA">
      <w:r w:rsidRPr="00EA2FBA">
        <w:pict w14:anchorId="7C4EFE9B">
          <v:rect id="_x0000_i1043" style="width:0;height:1.5pt" o:hralign="center" o:hrstd="t" o:hr="t" fillcolor="#a0a0a0" stroked="f"/>
        </w:pict>
      </w:r>
    </w:p>
    <w:p w14:paraId="3C0CAADA" w14:textId="77777777" w:rsidR="00EA2FBA" w:rsidRPr="00EA2FBA" w:rsidRDefault="00EA2FBA" w:rsidP="00EA2FBA">
      <w:r w:rsidRPr="00EA2FBA">
        <w:t>СЪХРАНЕНИЕ: </w:t>
      </w:r>
    </w:p>
    <w:p w14:paraId="4D034CA7" w14:textId="77777777" w:rsidR="00EA2FBA" w:rsidRPr="00EA2FBA" w:rsidRDefault="00EA2FBA" w:rsidP="00EA2FBA">
      <w:r w:rsidRPr="00EA2FBA">
        <w:t xml:space="preserve">Съхранявайте при </w:t>
      </w:r>
      <w:r w:rsidRPr="00EA2FBA">
        <w:rPr>
          <w:b/>
          <w:bCs/>
        </w:rPr>
        <w:t>4-25°C</w:t>
      </w:r>
      <w:r w:rsidRPr="00EA2FBA">
        <w:t xml:space="preserve"> на хладно и сухо място и избягвайте пряко излагане на слънце. Затваряйте спринцовката след употреба. </w:t>
      </w:r>
    </w:p>
    <w:p w14:paraId="12A08C3F" w14:textId="77777777" w:rsidR="00EA2FBA" w:rsidRPr="00EA2FBA" w:rsidRDefault="00EA2FBA" w:rsidP="00EA2FBA">
      <w:r w:rsidRPr="00EA2FBA">
        <w:lastRenderedPageBreak/>
        <w:pict w14:anchorId="7D8A8D2C">
          <v:rect id="_x0000_i1044" style="width:0;height:1.5pt" o:hralign="center" o:hrstd="t" o:hr="t" fillcolor="#a0a0a0" stroked="f"/>
        </w:pict>
      </w:r>
    </w:p>
    <w:p w14:paraId="3430FDBE" w14:textId="77777777" w:rsidR="00EA2FBA" w:rsidRPr="00EA2FBA" w:rsidRDefault="00EA2FBA" w:rsidP="00EA2FBA">
      <w:r w:rsidRPr="00EA2FBA">
        <w:t>ИЗХВЪРЛЯНЕ: </w:t>
      </w:r>
    </w:p>
    <w:p w14:paraId="568325FB" w14:textId="77777777" w:rsidR="00EA2FBA" w:rsidRPr="00EA2FBA" w:rsidRDefault="00EA2FBA" w:rsidP="00EA2FBA">
      <w:r w:rsidRPr="00EA2FBA">
        <w:t>След като продуктът се изразходва, изхвърлете го като нормален медицински отпадък. </w:t>
      </w:r>
    </w:p>
    <w:p w14:paraId="005504B9" w14:textId="77777777" w:rsidR="00EA2FBA" w:rsidRPr="00EA2FBA" w:rsidRDefault="00EA2FBA" w:rsidP="00EA2FBA">
      <w:r w:rsidRPr="00EA2FBA">
        <w:pict w14:anchorId="4756BD68">
          <v:rect id="_x0000_i1045" style="width:0;height:1.5pt" o:hralign="center" o:hrstd="t" o:hr="t" fillcolor="#a0a0a0" stroked="f"/>
        </w:pict>
      </w:r>
    </w:p>
    <w:p w14:paraId="58A2EE52" w14:textId="77777777" w:rsidR="00EA2FBA" w:rsidRPr="00EA2FBA" w:rsidRDefault="00EA2FBA" w:rsidP="00EA2FBA">
      <w:r w:rsidRPr="00EA2FBA">
        <w:t>СРОК НА ГОДНОСТ: 3 години </w:t>
      </w:r>
    </w:p>
    <w:p w14:paraId="7D9D93B5" w14:textId="77777777" w:rsidR="00EA2FBA" w:rsidRPr="00EA2FBA" w:rsidRDefault="00EA2FBA" w:rsidP="00EA2FBA">
      <w:r w:rsidRPr="00EA2FBA">
        <w:pict w14:anchorId="65AD1253">
          <v:rect id="_x0000_i1046" style="width:0;height:1.5pt" o:hralign="center" o:hrstd="t" o:hr="t" fillcolor="#a0a0a0" stroked="f"/>
        </w:pict>
      </w:r>
    </w:p>
    <w:p w14:paraId="21387FC4" w14:textId="77777777" w:rsidR="00EA2FBA" w:rsidRPr="00EA2FBA" w:rsidRDefault="00EA2FBA" w:rsidP="00EA2FBA">
      <w:r w:rsidRPr="00EA2FBA">
        <w:t>СТАНДАРТ: ISO 4049: </w:t>
      </w:r>
    </w:p>
    <w:p w14:paraId="0F8A432B" w14:textId="77777777" w:rsidR="00EA2FBA" w:rsidRPr="00EA2FBA" w:rsidRDefault="00EA2FBA" w:rsidP="00EA2FBA">
      <w:r w:rsidRPr="00EA2FBA">
        <w:t>Стоматология-Полимерни материали за пълнене, възстановяване и циментиране </w:t>
      </w:r>
    </w:p>
    <w:p w14:paraId="463F8E9B" w14:textId="77777777" w:rsidR="00EA2FBA" w:rsidRPr="00EA2FBA" w:rsidRDefault="00EA2FBA" w:rsidP="00EA2FBA">
      <w:r w:rsidRPr="00EA2FBA">
        <w:pict w14:anchorId="3BA4E84C">
          <v:rect id="_x0000_i1047" style="width:0;height:1.5pt" o:hralign="center" o:hrstd="t" o:hr="t" fillcolor="#a0a0a0" stroked="f"/>
        </w:pict>
      </w:r>
    </w:p>
    <w:p w14:paraId="0F4E9CD0" w14:textId="77777777" w:rsidR="00EA2FBA" w:rsidRPr="00EA2FBA" w:rsidRDefault="00EA2FBA" w:rsidP="00EA2FBA">
      <w:r w:rsidRPr="00EA2FBA">
        <w:t>ПРОИЗВОДИТЕЛ: SINO-DENTEX CO.,LTD. </w:t>
      </w:r>
    </w:p>
    <w:p w14:paraId="55E29C7F" w14:textId="77777777" w:rsidR="00EA2FBA" w:rsidRPr="00EA2FBA" w:rsidRDefault="00EA2FBA" w:rsidP="00EA2FBA">
      <w:r w:rsidRPr="00EA2FBA">
        <w:t>АДРЕС: NO.721, Chenggong Road, High-Tech Development District, Changchun, 130000 Jilin, P.R. China</w:t>
      </w:r>
      <w:r w:rsidRPr="00EA2FBA">
        <w:br/>
        <w:t>ТЕЛ: 86-431-87807357 ФАКС: 86-431-87855157</w:t>
      </w:r>
      <w:r w:rsidRPr="00EA2FBA">
        <w:br/>
        <w:t>www.sinodentex.com </w:t>
      </w:r>
    </w:p>
    <w:p w14:paraId="13362F1E" w14:textId="2F5282F6" w:rsidR="00542B8A" w:rsidRDefault="00542B8A"/>
    <w:sectPr w:rsidR="0054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6DE"/>
    <w:multiLevelType w:val="multilevel"/>
    <w:tmpl w:val="A480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615F5"/>
    <w:multiLevelType w:val="multilevel"/>
    <w:tmpl w:val="059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917A0"/>
    <w:multiLevelType w:val="multilevel"/>
    <w:tmpl w:val="27E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BA"/>
    <w:rsid w:val="00542B8A"/>
    <w:rsid w:val="00E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62683"/>
  <w15:chartTrackingRefBased/>
  <w15:docId w15:val="{C6042D2B-0FEB-454C-8BBE-99C7A4A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49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1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1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4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4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2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9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6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5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5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5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8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7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2026-01-15T12:21:00Z</dcterms:created>
  <dcterms:modified xsi:type="dcterms:W3CDTF">2026-01-15T12:24:00Z</dcterms:modified>
</cp:coreProperties>
</file>