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C6DA" w14:textId="663B53BE" w:rsidR="00512FF1" w:rsidRPr="00DA02D5" w:rsidRDefault="00512FF1" w:rsidP="00512FF1">
      <w:pPr>
        <w:spacing w:after="0"/>
        <w:jc w:val="center"/>
        <w:rPr>
          <w:sz w:val="28"/>
          <w:szCs w:val="28"/>
        </w:rPr>
      </w:pPr>
      <w:r w:rsidRPr="00DA02D5">
        <w:rPr>
          <w:sz w:val="28"/>
          <w:szCs w:val="28"/>
        </w:rPr>
        <w:t>Инструкция за употреба на</w:t>
      </w:r>
      <w:r w:rsidRPr="00DA02D5">
        <w:rPr>
          <w:sz w:val="28"/>
          <w:szCs w:val="28"/>
        </w:rPr>
        <w:t xml:space="preserve"> AFTIDENT® спрей</w:t>
      </w:r>
    </w:p>
    <w:p w14:paraId="4ADE422E" w14:textId="77777777" w:rsidR="00512FF1" w:rsidRPr="00512FF1" w:rsidRDefault="00512FF1" w:rsidP="00512FF1">
      <w:pPr>
        <w:spacing w:after="0"/>
        <w:rPr>
          <w:sz w:val="24"/>
          <w:szCs w:val="24"/>
        </w:rPr>
      </w:pPr>
    </w:p>
    <w:p w14:paraId="5B89642C" w14:textId="2D89DC02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AFTIDENT® е спрей за грижа за лигавицата на устната кухина, който подпомага</w:t>
      </w:r>
      <w:r w:rsidR="009850A7">
        <w:rPr>
          <w:sz w:val="24"/>
          <w:szCs w:val="24"/>
        </w:rPr>
        <w:t xml:space="preserve"> за </w:t>
      </w:r>
      <w:r w:rsidRPr="00512FF1">
        <w:rPr>
          <w:sz w:val="24"/>
          <w:szCs w:val="24"/>
        </w:rPr>
        <w:t>облекчаване на афти</w:t>
      </w:r>
      <w:r w:rsidR="009850A7">
        <w:rPr>
          <w:sz w:val="24"/>
          <w:szCs w:val="24"/>
        </w:rPr>
        <w:t xml:space="preserve">, </w:t>
      </w:r>
      <w:r w:rsidRPr="00512FF1">
        <w:rPr>
          <w:sz w:val="24"/>
          <w:szCs w:val="24"/>
        </w:rPr>
        <w:t>намаляване на възпаление и раздразнение</w:t>
      </w:r>
      <w:r w:rsidR="009850A7">
        <w:rPr>
          <w:sz w:val="24"/>
          <w:szCs w:val="24"/>
        </w:rPr>
        <w:t xml:space="preserve">, </w:t>
      </w:r>
      <w:r w:rsidRPr="00512FF1">
        <w:rPr>
          <w:sz w:val="24"/>
          <w:szCs w:val="24"/>
        </w:rPr>
        <w:t>възстановяване на венците и устната лигавица</w:t>
      </w:r>
      <w:r w:rsidR="009850A7">
        <w:rPr>
          <w:sz w:val="24"/>
          <w:szCs w:val="24"/>
        </w:rPr>
        <w:t xml:space="preserve">, </w:t>
      </w:r>
      <w:r w:rsidRPr="00512FF1">
        <w:rPr>
          <w:sz w:val="24"/>
          <w:szCs w:val="24"/>
        </w:rPr>
        <w:t>защита след екстракции, имплантологични процедури</w:t>
      </w:r>
      <w:r w:rsidR="00EE1D7F">
        <w:rPr>
          <w:sz w:val="24"/>
          <w:szCs w:val="24"/>
        </w:rPr>
        <w:t xml:space="preserve">, </w:t>
      </w:r>
      <w:r w:rsidRPr="00512FF1">
        <w:rPr>
          <w:sz w:val="24"/>
          <w:szCs w:val="24"/>
        </w:rPr>
        <w:t>комфорт при наранявания от ортодонтски апарати и протези</w:t>
      </w:r>
      <w:r w:rsidR="00EE1D7F">
        <w:rPr>
          <w:sz w:val="24"/>
          <w:szCs w:val="24"/>
        </w:rPr>
        <w:t>.</w:t>
      </w:r>
    </w:p>
    <w:p w14:paraId="6709976E" w14:textId="77777777" w:rsidR="00512FF1" w:rsidRPr="00512FF1" w:rsidRDefault="00512FF1" w:rsidP="00512FF1">
      <w:pPr>
        <w:spacing w:after="0"/>
        <w:rPr>
          <w:sz w:val="24"/>
          <w:szCs w:val="24"/>
        </w:rPr>
      </w:pPr>
    </w:p>
    <w:p w14:paraId="760333F2" w14:textId="1CC9F353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Начин на употреба</w:t>
      </w:r>
      <w:r w:rsidR="00EE1D7F">
        <w:rPr>
          <w:sz w:val="24"/>
          <w:szCs w:val="24"/>
        </w:rPr>
        <w:t>:</w:t>
      </w:r>
    </w:p>
    <w:p w14:paraId="73ECB4B6" w14:textId="639608FB" w:rsidR="00512FF1" w:rsidRPr="00EE1D7F" w:rsidRDefault="00BA3E33" w:rsidP="00EE1D7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И</w:t>
      </w:r>
      <w:r w:rsidR="00512FF1" w:rsidRPr="00EE1D7F">
        <w:rPr>
          <w:sz w:val="24"/>
          <w:szCs w:val="24"/>
        </w:rPr>
        <w:t>зм</w:t>
      </w:r>
      <w:r w:rsidR="00E04939">
        <w:rPr>
          <w:sz w:val="24"/>
          <w:szCs w:val="24"/>
        </w:rPr>
        <w:t>и</w:t>
      </w:r>
      <w:r>
        <w:rPr>
          <w:sz w:val="24"/>
          <w:szCs w:val="24"/>
        </w:rPr>
        <w:t>йте</w:t>
      </w:r>
      <w:r w:rsidR="00512FF1" w:rsidRPr="00EE1D7F">
        <w:rPr>
          <w:sz w:val="24"/>
          <w:szCs w:val="24"/>
        </w:rPr>
        <w:t xml:space="preserve"> зъбите</w:t>
      </w:r>
      <w:r>
        <w:rPr>
          <w:sz w:val="24"/>
          <w:szCs w:val="24"/>
        </w:rPr>
        <w:t xml:space="preserve"> си</w:t>
      </w:r>
      <w:r w:rsidR="00512FF1" w:rsidRPr="00EE1D7F">
        <w:rPr>
          <w:sz w:val="24"/>
          <w:szCs w:val="24"/>
        </w:rPr>
        <w:t>.</w:t>
      </w:r>
    </w:p>
    <w:p w14:paraId="5ADD963D" w14:textId="77777777" w:rsidR="00512FF1" w:rsidRPr="00EE1D7F" w:rsidRDefault="00512FF1" w:rsidP="00EE1D7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E1D7F">
        <w:rPr>
          <w:sz w:val="24"/>
          <w:szCs w:val="24"/>
        </w:rPr>
        <w:t>Насочете апликатора към засегнатото място.</w:t>
      </w:r>
    </w:p>
    <w:p w14:paraId="01D98033" w14:textId="77777777" w:rsidR="00512FF1" w:rsidRPr="00EE1D7F" w:rsidRDefault="00512FF1" w:rsidP="00EE1D7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E1D7F">
        <w:rPr>
          <w:sz w:val="24"/>
          <w:szCs w:val="24"/>
        </w:rPr>
        <w:t>Напръскайте 3–4 впръсквания директно върху лигавицата.</w:t>
      </w:r>
    </w:p>
    <w:p w14:paraId="1017D66F" w14:textId="1AE14715" w:rsidR="00512FF1" w:rsidRPr="00EE1D7F" w:rsidRDefault="00512FF1" w:rsidP="00EE1D7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E1D7F">
        <w:rPr>
          <w:sz w:val="24"/>
          <w:szCs w:val="24"/>
        </w:rPr>
        <w:t xml:space="preserve">Използвайте </w:t>
      </w:r>
      <w:r w:rsidR="00D34947">
        <w:rPr>
          <w:sz w:val="24"/>
          <w:szCs w:val="24"/>
        </w:rPr>
        <w:t>2</w:t>
      </w:r>
      <w:r w:rsidRPr="00EE1D7F">
        <w:rPr>
          <w:sz w:val="24"/>
          <w:szCs w:val="24"/>
        </w:rPr>
        <w:t xml:space="preserve"> пъти дневно или според препоръката на стоматолог.</w:t>
      </w:r>
    </w:p>
    <w:p w14:paraId="34FE49F6" w14:textId="716754EF" w:rsidR="00512FF1" w:rsidRPr="00EE1D7F" w:rsidRDefault="00512FF1" w:rsidP="00EE1D7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E1D7F">
        <w:rPr>
          <w:sz w:val="24"/>
          <w:szCs w:val="24"/>
        </w:rPr>
        <w:t>След приложение избягвайте прием на храна и напитки поне 20</w:t>
      </w:r>
      <w:r w:rsidR="00D34947">
        <w:rPr>
          <w:sz w:val="24"/>
          <w:szCs w:val="24"/>
        </w:rPr>
        <w:t xml:space="preserve"> - 30</w:t>
      </w:r>
      <w:r w:rsidRPr="00EE1D7F">
        <w:rPr>
          <w:sz w:val="24"/>
          <w:szCs w:val="24"/>
        </w:rPr>
        <w:t xml:space="preserve"> минути.</w:t>
      </w:r>
    </w:p>
    <w:p w14:paraId="1A681FBC" w14:textId="77777777" w:rsidR="00512FF1" w:rsidRPr="00512FF1" w:rsidRDefault="00512FF1" w:rsidP="00512FF1">
      <w:pPr>
        <w:spacing w:after="0"/>
        <w:rPr>
          <w:sz w:val="24"/>
          <w:szCs w:val="24"/>
        </w:rPr>
      </w:pPr>
    </w:p>
    <w:p w14:paraId="27964012" w14:textId="50FE9189" w:rsidR="00512FF1" w:rsidRPr="009850A7" w:rsidRDefault="00512FF1" w:rsidP="00512FF1">
      <w:pPr>
        <w:spacing w:after="0"/>
        <w:rPr>
          <w:sz w:val="24"/>
          <w:szCs w:val="24"/>
          <w:lang w:val="en-US"/>
        </w:rPr>
      </w:pPr>
      <w:r w:rsidRPr="00512FF1">
        <w:rPr>
          <w:sz w:val="24"/>
          <w:szCs w:val="24"/>
        </w:rPr>
        <w:t>Продължителност на употреба</w:t>
      </w:r>
      <w:r w:rsidR="009850A7">
        <w:rPr>
          <w:sz w:val="24"/>
          <w:szCs w:val="24"/>
          <w:lang w:val="en-US"/>
        </w:rPr>
        <w:t>:</w:t>
      </w:r>
    </w:p>
    <w:p w14:paraId="4A24C509" w14:textId="77777777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Използвайте до отшумяване на симптомите.</w:t>
      </w:r>
    </w:p>
    <w:p w14:paraId="7FA7C395" w14:textId="77777777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Подходящ за краткосрочна и подпомагаща продължителна грижа при нужда.</w:t>
      </w:r>
    </w:p>
    <w:p w14:paraId="27ABCA49" w14:textId="77777777" w:rsidR="009850A7" w:rsidRDefault="009850A7" w:rsidP="009850A7">
      <w:pPr>
        <w:spacing w:after="0"/>
        <w:rPr>
          <w:rFonts w:cs="Segoe UI Emoji"/>
          <w:sz w:val="24"/>
          <w:szCs w:val="24"/>
        </w:rPr>
      </w:pPr>
    </w:p>
    <w:p w14:paraId="65EE0A18" w14:textId="69D83D12" w:rsidR="009850A7" w:rsidRPr="009850A7" w:rsidRDefault="009850A7" w:rsidP="009850A7">
      <w:pPr>
        <w:spacing w:after="0"/>
        <w:rPr>
          <w:rFonts w:cs="Segoe UI Emoji"/>
          <w:sz w:val="24"/>
          <w:szCs w:val="24"/>
        </w:rPr>
      </w:pPr>
      <w:r w:rsidRPr="009850A7">
        <w:rPr>
          <w:rFonts w:cs="Segoe UI Emoji"/>
          <w:sz w:val="24"/>
          <w:szCs w:val="24"/>
        </w:rPr>
        <w:t>Състав: Вода, глицерин, сорбитол, таурин, убихинон, лецитин, натриев бензоат, олиово масло/растително масло, токоферол, аскорбил тетраизопалмитат, аромат на мента, масло от евкалипт глобулус.</w:t>
      </w:r>
    </w:p>
    <w:p w14:paraId="247B04AA" w14:textId="20BC10AB" w:rsidR="00512FF1" w:rsidRDefault="009850A7" w:rsidP="009850A7">
      <w:pPr>
        <w:spacing w:after="0"/>
        <w:rPr>
          <w:rFonts w:cs="Segoe UI Emoji"/>
          <w:sz w:val="24"/>
          <w:szCs w:val="24"/>
        </w:rPr>
      </w:pPr>
      <w:r w:rsidRPr="009850A7">
        <w:rPr>
          <w:rFonts w:cs="Segoe UI Emoji"/>
          <w:sz w:val="24"/>
          <w:szCs w:val="24"/>
        </w:rPr>
        <w:t>Не съдържа оцветители. Цветът идва от съставките на препарата.</w:t>
      </w:r>
    </w:p>
    <w:p w14:paraId="0FD9F003" w14:textId="77777777" w:rsidR="00EE1D7F" w:rsidRDefault="00EE1D7F" w:rsidP="00512FF1">
      <w:pPr>
        <w:spacing w:after="0"/>
        <w:rPr>
          <w:sz w:val="24"/>
          <w:szCs w:val="24"/>
        </w:rPr>
      </w:pPr>
    </w:p>
    <w:p w14:paraId="620718BF" w14:textId="3CF4A13A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Предупреждения</w:t>
      </w:r>
    </w:p>
    <w:p w14:paraId="454D4DB3" w14:textId="77777777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Само за локално приложение в устната кухина.</w:t>
      </w:r>
    </w:p>
    <w:p w14:paraId="41AA9E99" w14:textId="77777777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Да не се поглъща умишлено.</w:t>
      </w:r>
    </w:p>
    <w:p w14:paraId="499333DD" w14:textId="77777777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Да се избягва контакт с очите.</w:t>
      </w:r>
    </w:p>
    <w:p w14:paraId="2F398EC9" w14:textId="77777777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При поява на алергична реакция прекратете употребата.</w:t>
      </w:r>
    </w:p>
    <w:p w14:paraId="4E278544" w14:textId="77777777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Ако симптомите продължат повече от 7–10 дни, консултирайте се със стоматолог.</w:t>
      </w:r>
    </w:p>
    <w:p w14:paraId="57190D2E" w14:textId="77777777" w:rsidR="00512FF1" w:rsidRDefault="00512FF1" w:rsidP="00512FF1">
      <w:pPr>
        <w:spacing w:after="0"/>
        <w:rPr>
          <w:rFonts w:cs="Segoe UI Emoji"/>
          <w:sz w:val="24"/>
          <w:szCs w:val="24"/>
        </w:rPr>
      </w:pPr>
    </w:p>
    <w:p w14:paraId="5D307025" w14:textId="7A8D746F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Подходящ ли е за деца?</w:t>
      </w:r>
    </w:p>
    <w:p w14:paraId="2DBACBF2" w14:textId="37891042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 xml:space="preserve">Може да се използва при деца </w:t>
      </w:r>
      <w:r w:rsidR="00EE1D7F">
        <w:rPr>
          <w:sz w:val="24"/>
          <w:szCs w:val="24"/>
        </w:rPr>
        <w:t xml:space="preserve">над 6 годишна възраст, </w:t>
      </w:r>
      <w:r w:rsidRPr="00512FF1">
        <w:rPr>
          <w:sz w:val="24"/>
          <w:szCs w:val="24"/>
        </w:rPr>
        <w:t>само под наблюдение на възрастен или след консултация със специалист.</w:t>
      </w:r>
    </w:p>
    <w:p w14:paraId="722EC513" w14:textId="77777777" w:rsidR="00512FF1" w:rsidRPr="00512FF1" w:rsidRDefault="00512FF1" w:rsidP="00512FF1">
      <w:pPr>
        <w:spacing w:after="0"/>
        <w:rPr>
          <w:sz w:val="24"/>
          <w:szCs w:val="24"/>
        </w:rPr>
      </w:pPr>
    </w:p>
    <w:p w14:paraId="074B52A8" w14:textId="0A95D948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Съхранение</w:t>
      </w:r>
      <w:r w:rsidR="001217CB">
        <w:rPr>
          <w:sz w:val="24"/>
          <w:szCs w:val="24"/>
        </w:rPr>
        <w:t>:</w:t>
      </w:r>
    </w:p>
    <w:p w14:paraId="6FAEA81B" w14:textId="31BD4E36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Съхранявайте на сухо място</w:t>
      </w:r>
      <w:r w:rsidR="001217CB">
        <w:rPr>
          <w:sz w:val="24"/>
          <w:szCs w:val="24"/>
        </w:rPr>
        <w:t>.</w:t>
      </w:r>
    </w:p>
    <w:p w14:paraId="1A74130A" w14:textId="466E4A27" w:rsidR="00512FF1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Температура под 25°C</w:t>
      </w:r>
      <w:r w:rsidR="001217CB">
        <w:rPr>
          <w:sz w:val="24"/>
          <w:szCs w:val="24"/>
        </w:rPr>
        <w:t>.</w:t>
      </w:r>
    </w:p>
    <w:p w14:paraId="29A1C0A5" w14:textId="101FA086" w:rsidR="00B13747" w:rsidRPr="00512FF1" w:rsidRDefault="00512FF1" w:rsidP="00512FF1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Да се пази далеч от деца</w:t>
      </w:r>
      <w:r w:rsidR="001217CB">
        <w:rPr>
          <w:sz w:val="24"/>
          <w:szCs w:val="24"/>
        </w:rPr>
        <w:t>.</w:t>
      </w:r>
    </w:p>
    <w:p w14:paraId="3C8EFA45" w14:textId="324134DD" w:rsidR="00B13747" w:rsidRPr="00512FF1" w:rsidRDefault="00B13747" w:rsidP="00B13747">
      <w:pPr>
        <w:spacing w:after="0"/>
        <w:rPr>
          <w:sz w:val="24"/>
          <w:szCs w:val="24"/>
        </w:rPr>
      </w:pPr>
      <w:r w:rsidRPr="00512FF1">
        <w:rPr>
          <w:sz w:val="24"/>
          <w:szCs w:val="24"/>
        </w:rPr>
        <w:t>Да се съхранява съгласно указанията на производителя</w:t>
      </w:r>
      <w:r w:rsidR="001217CB">
        <w:rPr>
          <w:sz w:val="24"/>
          <w:szCs w:val="24"/>
        </w:rPr>
        <w:t>.</w:t>
      </w:r>
    </w:p>
    <w:p w14:paraId="64561117" w14:textId="77777777" w:rsidR="00FE13FC" w:rsidRPr="00512FF1" w:rsidRDefault="00FE13FC" w:rsidP="00B13747">
      <w:pPr>
        <w:spacing w:after="0"/>
        <w:rPr>
          <w:sz w:val="24"/>
          <w:szCs w:val="24"/>
        </w:rPr>
      </w:pPr>
    </w:p>
    <w:sectPr w:rsidR="00FE13FC" w:rsidRPr="0051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1E6"/>
    <w:multiLevelType w:val="hybridMultilevel"/>
    <w:tmpl w:val="0472FF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2EAE"/>
    <w:multiLevelType w:val="hybridMultilevel"/>
    <w:tmpl w:val="FDA8AA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5BFD"/>
    <w:multiLevelType w:val="hybridMultilevel"/>
    <w:tmpl w:val="9F3AE5E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F7100"/>
    <w:multiLevelType w:val="hybridMultilevel"/>
    <w:tmpl w:val="C180FE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47"/>
    <w:rsid w:val="001217CB"/>
    <w:rsid w:val="0023685F"/>
    <w:rsid w:val="002B2DED"/>
    <w:rsid w:val="003E522F"/>
    <w:rsid w:val="00430DF0"/>
    <w:rsid w:val="00512FF1"/>
    <w:rsid w:val="006D5186"/>
    <w:rsid w:val="009850A7"/>
    <w:rsid w:val="00A86560"/>
    <w:rsid w:val="00B02D98"/>
    <w:rsid w:val="00B13747"/>
    <w:rsid w:val="00BA3E33"/>
    <w:rsid w:val="00C63205"/>
    <w:rsid w:val="00C806CB"/>
    <w:rsid w:val="00D34947"/>
    <w:rsid w:val="00D85DB0"/>
    <w:rsid w:val="00DA02D5"/>
    <w:rsid w:val="00DE4EAE"/>
    <w:rsid w:val="00E04939"/>
    <w:rsid w:val="00E16D6B"/>
    <w:rsid w:val="00EE1D7F"/>
    <w:rsid w:val="00FC7DA6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685B9"/>
  <w15:chartTrackingRefBased/>
  <w15:docId w15:val="{7653FA6B-35EC-4382-9CDE-A08219A1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2026-03-27T12:17:00Z</cp:lastPrinted>
  <dcterms:created xsi:type="dcterms:W3CDTF">2026-03-27T11:45:00Z</dcterms:created>
  <dcterms:modified xsi:type="dcterms:W3CDTF">2026-03-27T12:29:00Z</dcterms:modified>
</cp:coreProperties>
</file>