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E6D4" w14:textId="17ED2732" w:rsidR="00B13747" w:rsidRPr="00B13747" w:rsidRDefault="00B13747" w:rsidP="00B13747">
      <w:pPr>
        <w:spacing w:after="0"/>
        <w:jc w:val="center"/>
        <w:rPr>
          <w:sz w:val="32"/>
          <w:szCs w:val="32"/>
        </w:rPr>
      </w:pPr>
      <w:r w:rsidRPr="00B13747">
        <w:rPr>
          <w:sz w:val="32"/>
          <w:szCs w:val="32"/>
        </w:rPr>
        <w:t>ИНСТРУКЦИЯ ЗА УПОТРЕБА</w:t>
      </w:r>
    </w:p>
    <w:p w14:paraId="023C3AB8" w14:textId="429D5513" w:rsidR="00B13747" w:rsidRPr="00B13747" w:rsidRDefault="00B13747" w:rsidP="00B13747">
      <w:pPr>
        <w:spacing w:after="0"/>
        <w:jc w:val="center"/>
        <w:rPr>
          <w:sz w:val="32"/>
          <w:szCs w:val="32"/>
        </w:rPr>
      </w:pPr>
      <w:r w:rsidRPr="00B13747">
        <w:rPr>
          <w:sz w:val="32"/>
          <w:szCs w:val="32"/>
        </w:rPr>
        <w:t xml:space="preserve">на </w:t>
      </w:r>
      <w:r w:rsidRPr="00B13747">
        <w:rPr>
          <w:sz w:val="32"/>
          <w:szCs w:val="32"/>
        </w:rPr>
        <w:t>Пародонтален гел Pocket</w:t>
      </w:r>
      <w:r w:rsidRPr="00B13747">
        <w:rPr>
          <w:rFonts w:ascii="Cambria Math" w:hAnsi="Cambria Math" w:cs="Cambria Math"/>
          <w:sz w:val="32"/>
          <w:szCs w:val="32"/>
        </w:rPr>
        <w:t>‑</w:t>
      </w:r>
      <w:r w:rsidRPr="00B13747">
        <w:rPr>
          <w:sz w:val="32"/>
          <w:szCs w:val="32"/>
        </w:rPr>
        <w:t>X</w:t>
      </w:r>
      <w:r w:rsidRPr="00B13747">
        <w:rPr>
          <w:rFonts w:ascii="Calibri" w:hAnsi="Calibri" w:cs="Calibri"/>
          <w:sz w:val="32"/>
          <w:szCs w:val="32"/>
        </w:rPr>
        <w:t>®</w:t>
      </w:r>
      <w:r w:rsidRPr="00B13747">
        <w:rPr>
          <w:sz w:val="32"/>
          <w:szCs w:val="32"/>
        </w:rPr>
        <w:t xml:space="preserve"> Gel</w:t>
      </w:r>
    </w:p>
    <w:p w14:paraId="674C3C5E" w14:textId="77777777" w:rsidR="00E16D6B" w:rsidRDefault="00E16D6B" w:rsidP="00B13747">
      <w:pPr>
        <w:spacing w:after="0"/>
      </w:pPr>
    </w:p>
    <w:p w14:paraId="030C4065" w14:textId="4A923D73" w:rsidR="00B13747" w:rsidRDefault="00B13747" w:rsidP="00B13747">
      <w:pPr>
        <w:spacing w:after="0"/>
      </w:pPr>
      <w:r>
        <w:t>Pocket</w:t>
      </w:r>
      <w:r>
        <w:rPr>
          <w:rFonts w:ascii="Cambria Math" w:hAnsi="Cambria Math" w:cs="Cambria Math"/>
        </w:rPr>
        <w:t>‑</w:t>
      </w:r>
      <w:r>
        <w:t>X</w:t>
      </w:r>
      <w:r>
        <w:rPr>
          <w:rFonts w:ascii="Calibri" w:hAnsi="Calibri" w:cs="Calibri"/>
        </w:rPr>
        <w:t>®</w:t>
      </w:r>
      <w:r>
        <w:t xml:space="preserve"> Gel </w:t>
      </w:r>
      <w:r>
        <w:rPr>
          <w:rFonts w:ascii="Calibri" w:hAnsi="Calibri" w:cs="Calibri"/>
        </w:rPr>
        <w:t>е</w:t>
      </w:r>
      <w:r>
        <w:t xml:space="preserve"> </w:t>
      </w:r>
      <w:r>
        <w:rPr>
          <w:rFonts w:ascii="Calibri" w:hAnsi="Calibri" w:cs="Calibri"/>
        </w:rPr>
        <w:t>медицински</w:t>
      </w:r>
      <w:r>
        <w:t xml:space="preserve"> </w:t>
      </w:r>
      <w:r>
        <w:rPr>
          <w:rFonts w:ascii="Calibri" w:hAnsi="Calibri" w:cs="Calibri"/>
        </w:rPr>
        <w:t>гел</w:t>
      </w:r>
      <w:r>
        <w:t xml:space="preserve"> </w:t>
      </w:r>
      <w:r>
        <w:rPr>
          <w:rFonts w:ascii="Calibri" w:hAnsi="Calibri" w:cs="Calibri"/>
        </w:rPr>
        <w:t>за</w:t>
      </w:r>
      <w:r>
        <w:t xml:space="preserve"> </w:t>
      </w:r>
      <w:r>
        <w:rPr>
          <w:rFonts w:ascii="Calibri" w:hAnsi="Calibri" w:cs="Calibri"/>
        </w:rPr>
        <w:t>локално</w:t>
      </w:r>
      <w:r>
        <w:t xml:space="preserve"> </w:t>
      </w:r>
      <w:r>
        <w:rPr>
          <w:rFonts w:ascii="Calibri" w:hAnsi="Calibri" w:cs="Calibri"/>
        </w:rPr>
        <w:t>приложение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пародонталните</w:t>
      </w:r>
      <w:r>
        <w:t xml:space="preserve"> </w:t>
      </w:r>
      <w:r>
        <w:rPr>
          <w:rFonts w:ascii="Calibri" w:hAnsi="Calibri" w:cs="Calibri"/>
        </w:rPr>
        <w:t>джобове</w:t>
      </w:r>
      <w:r>
        <w:t xml:space="preserve">. </w:t>
      </w:r>
      <w:r>
        <w:rPr>
          <w:rFonts w:ascii="Calibri" w:hAnsi="Calibri" w:cs="Calibri"/>
        </w:rPr>
        <w:t>Използва</w:t>
      </w:r>
      <w:r>
        <w:t xml:space="preserve"> </w:t>
      </w:r>
      <w:r>
        <w:rPr>
          <w:rFonts w:ascii="Calibri" w:hAnsi="Calibri" w:cs="Calibri"/>
        </w:rPr>
        <w:t>се</w:t>
      </w:r>
      <w:r>
        <w:t xml:space="preserve"> </w:t>
      </w:r>
      <w:r>
        <w:rPr>
          <w:rFonts w:ascii="Calibri" w:hAnsi="Calibri" w:cs="Calibri"/>
        </w:rPr>
        <w:t>като</w:t>
      </w:r>
      <w:r>
        <w:t xml:space="preserve"> </w:t>
      </w:r>
      <w:r>
        <w:rPr>
          <w:rFonts w:ascii="Calibri" w:hAnsi="Calibri" w:cs="Calibri"/>
        </w:rPr>
        <w:t>допълнение</w:t>
      </w:r>
      <w:r>
        <w:t xml:space="preserve"> </w:t>
      </w:r>
      <w:r>
        <w:rPr>
          <w:rFonts w:ascii="Calibri" w:hAnsi="Calibri" w:cs="Calibri"/>
        </w:rPr>
        <w:t>към</w:t>
      </w:r>
      <w:r>
        <w:t xml:space="preserve"> </w:t>
      </w:r>
      <w:r>
        <w:rPr>
          <w:rFonts w:ascii="Calibri" w:hAnsi="Calibri" w:cs="Calibri"/>
        </w:rPr>
        <w:t>професионалното</w:t>
      </w:r>
      <w:r>
        <w:t xml:space="preserve"> </w:t>
      </w:r>
      <w:r>
        <w:rPr>
          <w:rFonts w:ascii="Calibri" w:hAnsi="Calibri" w:cs="Calibri"/>
        </w:rPr>
        <w:t>пародонтално</w:t>
      </w:r>
      <w:r>
        <w:t xml:space="preserve"> </w:t>
      </w:r>
      <w:r>
        <w:rPr>
          <w:rFonts w:ascii="Calibri" w:hAnsi="Calibri" w:cs="Calibri"/>
        </w:rPr>
        <w:t>лечение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цел</w:t>
      </w:r>
      <w:r>
        <w:t xml:space="preserve"> </w:t>
      </w:r>
      <w:r>
        <w:rPr>
          <w:rFonts w:ascii="Calibri" w:hAnsi="Calibri" w:cs="Calibri"/>
        </w:rPr>
        <w:t>подпомагане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възстановяването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венците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огра</w:t>
      </w:r>
      <w:r>
        <w:t>ничаване на повторното навлизане на бактерии.</w:t>
      </w:r>
    </w:p>
    <w:p w14:paraId="080F260E" w14:textId="77777777" w:rsidR="00B13747" w:rsidRDefault="00B13747" w:rsidP="00B13747">
      <w:pPr>
        <w:spacing w:after="0"/>
      </w:pPr>
    </w:p>
    <w:p w14:paraId="4833A5E1" w14:textId="77777777" w:rsidR="00B13747" w:rsidRDefault="00B13747" w:rsidP="00B13747">
      <w:pPr>
        <w:spacing w:after="0"/>
      </w:pPr>
      <w:r>
        <w:t>Гелът образува защитен слой в пародонталния джоб и подпомага оздравителния процес след почистване на кореновите повърхности.</w:t>
      </w:r>
    </w:p>
    <w:p w14:paraId="006F7B74" w14:textId="77777777" w:rsidR="00B13747" w:rsidRDefault="00B13747" w:rsidP="00B13747">
      <w:pPr>
        <w:spacing w:after="0"/>
      </w:pPr>
    </w:p>
    <w:p w14:paraId="5344BEF5" w14:textId="70AFB536" w:rsidR="00B13747" w:rsidRDefault="00B13747" w:rsidP="00B13747">
      <w:pPr>
        <w:spacing w:after="0"/>
      </w:pPr>
      <w:r>
        <w:t>Продуктът се прилага от стоматолог при:</w:t>
      </w:r>
    </w:p>
    <w:p w14:paraId="3BADE40E" w14:textId="18098F91" w:rsidR="00B13747" w:rsidRDefault="00B13747" w:rsidP="003E522F">
      <w:pPr>
        <w:pStyle w:val="ListParagraph"/>
        <w:numPr>
          <w:ilvl w:val="0"/>
          <w:numId w:val="1"/>
        </w:numPr>
        <w:spacing w:after="0"/>
      </w:pPr>
      <w:r>
        <w:t>лечение на пародонтални джобове</w:t>
      </w:r>
      <w:r w:rsidR="003E522F">
        <w:rPr>
          <w:lang w:val="en-US"/>
        </w:rPr>
        <w:t>;</w:t>
      </w:r>
    </w:p>
    <w:p w14:paraId="1912B7F1" w14:textId="41D55E87" w:rsidR="00B13747" w:rsidRDefault="00B13747" w:rsidP="003E522F">
      <w:pPr>
        <w:pStyle w:val="ListParagraph"/>
        <w:numPr>
          <w:ilvl w:val="0"/>
          <w:numId w:val="1"/>
        </w:numPr>
        <w:spacing w:after="0"/>
      </w:pPr>
      <w:r>
        <w:t>след почистване на зъбен камък и кореново заглаждане</w:t>
      </w:r>
      <w:r w:rsidR="003E522F">
        <w:rPr>
          <w:lang w:val="en-US"/>
        </w:rPr>
        <w:t>;</w:t>
      </w:r>
    </w:p>
    <w:p w14:paraId="7E275DA2" w14:textId="31984B5E" w:rsidR="00B13747" w:rsidRDefault="00B13747" w:rsidP="003E522F">
      <w:pPr>
        <w:pStyle w:val="ListParagraph"/>
        <w:numPr>
          <w:ilvl w:val="0"/>
          <w:numId w:val="1"/>
        </w:numPr>
        <w:spacing w:after="0"/>
      </w:pPr>
      <w:r>
        <w:t>начална пародонтална терапия</w:t>
      </w:r>
      <w:r w:rsidR="003E522F">
        <w:rPr>
          <w:lang w:val="en-US"/>
        </w:rPr>
        <w:t>;</w:t>
      </w:r>
    </w:p>
    <w:p w14:paraId="473FFBD3" w14:textId="3A902553" w:rsidR="00B13747" w:rsidRDefault="00B13747" w:rsidP="003E522F">
      <w:pPr>
        <w:pStyle w:val="ListParagraph"/>
        <w:numPr>
          <w:ilvl w:val="0"/>
          <w:numId w:val="1"/>
        </w:numPr>
        <w:spacing w:after="0"/>
      </w:pPr>
      <w:r>
        <w:t>поддържаща пародонтална терапия</w:t>
      </w:r>
      <w:r w:rsidR="003E522F">
        <w:rPr>
          <w:lang w:val="en-US"/>
        </w:rPr>
        <w:t>.</w:t>
      </w:r>
    </w:p>
    <w:p w14:paraId="7CAC9DBF" w14:textId="77777777" w:rsidR="00B13747" w:rsidRDefault="00B13747" w:rsidP="00B13747">
      <w:pPr>
        <w:spacing w:after="0"/>
      </w:pPr>
    </w:p>
    <w:p w14:paraId="052CAF43" w14:textId="21CA0957" w:rsidR="00B13747" w:rsidRPr="0023685F" w:rsidRDefault="00B13747" w:rsidP="00B13747">
      <w:pPr>
        <w:spacing w:after="0"/>
        <w:rPr>
          <w:b/>
          <w:bCs/>
        </w:rPr>
      </w:pPr>
      <w:r w:rsidRPr="0023685F">
        <w:rPr>
          <w:b/>
          <w:bCs/>
        </w:rPr>
        <w:t>Продуктът не е предназначен за самостоятелна употреба у дома.</w:t>
      </w:r>
    </w:p>
    <w:p w14:paraId="6A9136DC" w14:textId="77777777" w:rsidR="00B13747" w:rsidRDefault="00B13747" w:rsidP="00B13747">
      <w:pPr>
        <w:spacing w:after="0"/>
      </w:pPr>
    </w:p>
    <w:p w14:paraId="708036B3" w14:textId="15AAA49C" w:rsidR="00B13747" w:rsidRDefault="00B13747" w:rsidP="00B13747">
      <w:pPr>
        <w:spacing w:after="0"/>
      </w:pPr>
      <w:r>
        <w:t>Начин на</w:t>
      </w:r>
      <w:r>
        <w:t xml:space="preserve"> прил</w:t>
      </w:r>
      <w:r>
        <w:t>ожение</w:t>
      </w:r>
      <w:r w:rsidR="00C63205">
        <w:rPr>
          <w:lang w:val="en-US"/>
        </w:rPr>
        <w:t xml:space="preserve"> </w:t>
      </w:r>
      <w:r w:rsidR="00C63205">
        <w:t xml:space="preserve">на </w:t>
      </w:r>
      <w:r w:rsidR="00C63205" w:rsidRPr="00C63205">
        <w:t>Pocket</w:t>
      </w:r>
      <w:r w:rsidR="00C63205" w:rsidRPr="00C63205">
        <w:rPr>
          <w:rFonts w:ascii="Cambria Math" w:hAnsi="Cambria Math" w:cs="Cambria Math"/>
        </w:rPr>
        <w:t>‑</w:t>
      </w:r>
      <w:r w:rsidR="00C63205" w:rsidRPr="00C63205">
        <w:t>X® Gel</w:t>
      </w:r>
      <w:r>
        <w:t>:</w:t>
      </w:r>
    </w:p>
    <w:p w14:paraId="5FA61DFB" w14:textId="77777777" w:rsidR="00B13747" w:rsidRDefault="00B13747" w:rsidP="00C63205">
      <w:pPr>
        <w:pStyle w:val="ListParagraph"/>
        <w:numPr>
          <w:ilvl w:val="0"/>
          <w:numId w:val="2"/>
        </w:numPr>
        <w:spacing w:after="0"/>
      </w:pPr>
      <w:r>
        <w:t>Пародонталният джоб се почиства механично.</w:t>
      </w:r>
    </w:p>
    <w:p w14:paraId="42BC59B1" w14:textId="77777777" w:rsidR="00D85DB0" w:rsidRDefault="00D85DB0" w:rsidP="00D85DB0">
      <w:pPr>
        <w:pStyle w:val="ListParagraph"/>
        <w:numPr>
          <w:ilvl w:val="0"/>
          <w:numId w:val="2"/>
        </w:numPr>
        <w:spacing w:after="0"/>
      </w:pPr>
      <w:r>
        <w:t>Избира се подходящият апликатор (син – дълбоки джобове; червен – по-плитки).</w:t>
      </w:r>
    </w:p>
    <w:p w14:paraId="59BD5988" w14:textId="429BED33" w:rsidR="00B13747" w:rsidRDefault="00B13747" w:rsidP="00C63205">
      <w:pPr>
        <w:pStyle w:val="ListParagraph"/>
        <w:numPr>
          <w:ilvl w:val="0"/>
          <w:numId w:val="2"/>
        </w:numPr>
        <w:spacing w:after="0"/>
      </w:pPr>
      <w:r>
        <w:t xml:space="preserve">Гелът се въвежда в </w:t>
      </w:r>
      <w:r w:rsidR="00D85DB0" w:rsidRPr="00C63205">
        <w:rPr>
          <w:rFonts w:ascii="Calibri" w:hAnsi="Calibri" w:cs="Calibri"/>
        </w:rPr>
        <w:t>пародонталния</w:t>
      </w:r>
      <w:r w:rsidR="00D85DB0">
        <w:t xml:space="preserve"> </w:t>
      </w:r>
      <w:r>
        <w:t>джоб до запълването му</w:t>
      </w:r>
      <w:r w:rsidR="00D85DB0" w:rsidRPr="00D85DB0">
        <w:rPr>
          <w:rFonts w:ascii="Calibri" w:hAnsi="Calibri" w:cs="Calibri"/>
        </w:rPr>
        <w:t xml:space="preserve"> </w:t>
      </w:r>
      <w:r w:rsidR="00D85DB0" w:rsidRPr="00C63205">
        <w:rPr>
          <w:rFonts w:ascii="Calibri" w:hAnsi="Calibri" w:cs="Calibri"/>
        </w:rPr>
        <w:t>чрез</w:t>
      </w:r>
      <w:r w:rsidR="00D85DB0">
        <w:t xml:space="preserve"> </w:t>
      </w:r>
      <w:r w:rsidR="00D85DB0">
        <w:rPr>
          <w:rFonts w:ascii="Calibri" w:hAnsi="Calibri" w:cs="Calibri"/>
        </w:rPr>
        <w:t>избрания</w:t>
      </w:r>
      <w:r w:rsidR="00D85DB0">
        <w:t xml:space="preserve"> </w:t>
      </w:r>
      <w:r w:rsidR="00D85DB0" w:rsidRPr="00C63205">
        <w:rPr>
          <w:rFonts w:ascii="Calibri" w:hAnsi="Calibri" w:cs="Calibri"/>
        </w:rPr>
        <w:t>апликатор</w:t>
      </w:r>
      <w:r w:rsidR="00D85DB0">
        <w:t>.</w:t>
      </w:r>
    </w:p>
    <w:p w14:paraId="0387461A" w14:textId="77777777" w:rsidR="00B13747" w:rsidRDefault="00B13747" w:rsidP="00C63205">
      <w:pPr>
        <w:pStyle w:val="ListParagraph"/>
        <w:numPr>
          <w:ilvl w:val="0"/>
          <w:numId w:val="2"/>
        </w:numPr>
        <w:spacing w:after="0"/>
      </w:pPr>
      <w:r>
        <w:t>При телесна температура гелът се превръща от течност във вискозен защитен слой.</w:t>
      </w:r>
    </w:p>
    <w:p w14:paraId="191A7DA2" w14:textId="77777777" w:rsidR="00B13747" w:rsidRDefault="00B13747" w:rsidP="00C63205">
      <w:pPr>
        <w:pStyle w:val="ListParagraph"/>
        <w:numPr>
          <w:ilvl w:val="0"/>
          <w:numId w:val="2"/>
        </w:numPr>
        <w:spacing w:after="0"/>
      </w:pPr>
      <w:r>
        <w:t>След поставяне гелът се стабилизира при телесна температура и образува защитна бариера в третираната зона.</w:t>
      </w:r>
    </w:p>
    <w:p w14:paraId="003CEB34" w14:textId="6E4ED2E0" w:rsidR="00B13747" w:rsidRDefault="00B13747" w:rsidP="00B13747">
      <w:pPr>
        <w:spacing w:after="0"/>
      </w:pPr>
      <w:r>
        <w:t>При необходимост приложението може да бъде повторено по преценка на лекуващия стоматолог.</w:t>
      </w:r>
    </w:p>
    <w:p w14:paraId="60FCCE63" w14:textId="77777777" w:rsidR="00430DF0" w:rsidRDefault="00430DF0" w:rsidP="00B13747">
      <w:pPr>
        <w:spacing w:after="0"/>
      </w:pPr>
    </w:p>
    <w:p w14:paraId="7974BDC0" w14:textId="44F2E16C" w:rsidR="00B13747" w:rsidRDefault="00B13747" w:rsidP="00B13747">
      <w:pPr>
        <w:spacing w:after="0"/>
      </w:pPr>
      <w:r>
        <w:t xml:space="preserve">Какво трябва да </w:t>
      </w:r>
      <w:r w:rsidR="00430DF0">
        <w:t xml:space="preserve">се </w:t>
      </w:r>
      <w:r>
        <w:t>спазва след поставяне</w:t>
      </w:r>
      <w:r w:rsidR="00430DF0">
        <w:t>?</w:t>
      </w:r>
    </w:p>
    <w:p w14:paraId="79795B34" w14:textId="7BA26BA5" w:rsidR="00B13747" w:rsidRDefault="00B13747" w:rsidP="00B13747">
      <w:pPr>
        <w:spacing w:after="0"/>
      </w:pPr>
      <w:r>
        <w:t>След поставяне на гела</w:t>
      </w:r>
      <w:r w:rsidR="00430DF0">
        <w:t xml:space="preserve"> </w:t>
      </w:r>
      <w:r w:rsidR="00430DF0" w:rsidRPr="00430DF0">
        <w:rPr>
          <w:b/>
          <w:bCs/>
        </w:rPr>
        <w:t>н</w:t>
      </w:r>
      <w:r w:rsidRPr="00430DF0">
        <w:rPr>
          <w:b/>
          <w:bCs/>
        </w:rPr>
        <w:t>е трябва</w:t>
      </w:r>
      <w:r>
        <w:t>:</w:t>
      </w:r>
    </w:p>
    <w:p w14:paraId="6368D15C" w14:textId="78E17872" w:rsidR="00B13747" w:rsidRDefault="00B13747" w:rsidP="00B02D98">
      <w:pPr>
        <w:pStyle w:val="ListParagraph"/>
        <w:numPr>
          <w:ilvl w:val="0"/>
          <w:numId w:val="3"/>
        </w:numPr>
        <w:spacing w:after="0"/>
      </w:pPr>
      <w:r>
        <w:t xml:space="preserve">да </w:t>
      </w:r>
      <w:r w:rsidR="00B02D98">
        <w:t xml:space="preserve">се </w:t>
      </w:r>
      <w:r>
        <w:t>приема храна в рамките на 2 часа</w:t>
      </w:r>
    </w:p>
    <w:p w14:paraId="4734A910" w14:textId="4AA36BAB" w:rsidR="00B13747" w:rsidRDefault="00B13747" w:rsidP="00B02D98">
      <w:pPr>
        <w:pStyle w:val="ListParagraph"/>
        <w:numPr>
          <w:ilvl w:val="0"/>
          <w:numId w:val="3"/>
        </w:numPr>
        <w:spacing w:after="0"/>
      </w:pPr>
      <w:r>
        <w:t xml:space="preserve">да </w:t>
      </w:r>
      <w:r w:rsidR="00B02D98">
        <w:t xml:space="preserve">се </w:t>
      </w:r>
      <w:r>
        <w:t>изплаква устата в рамките на 2 часа</w:t>
      </w:r>
    </w:p>
    <w:p w14:paraId="4A46A134" w14:textId="21F2BE5D" w:rsidR="00B13747" w:rsidRDefault="00B13747" w:rsidP="00B02D98">
      <w:pPr>
        <w:pStyle w:val="ListParagraph"/>
        <w:numPr>
          <w:ilvl w:val="0"/>
          <w:numId w:val="3"/>
        </w:numPr>
        <w:spacing w:after="0"/>
      </w:pPr>
      <w:r>
        <w:t xml:space="preserve">да </w:t>
      </w:r>
      <w:r w:rsidR="00B02D98">
        <w:t xml:space="preserve">се </w:t>
      </w:r>
      <w:r>
        <w:t>консумират горещи напитки в рамките на 4 часа</w:t>
      </w:r>
    </w:p>
    <w:p w14:paraId="12A3324B" w14:textId="34C82DFE" w:rsidR="00B13747" w:rsidRDefault="00B13747" w:rsidP="00B02D98">
      <w:pPr>
        <w:pStyle w:val="ListParagraph"/>
        <w:numPr>
          <w:ilvl w:val="0"/>
          <w:numId w:val="3"/>
        </w:numPr>
        <w:spacing w:after="0"/>
      </w:pPr>
      <w:r>
        <w:t xml:space="preserve">да </w:t>
      </w:r>
      <w:r w:rsidR="00B02D98">
        <w:t xml:space="preserve">се </w:t>
      </w:r>
      <w:r>
        <w:t>използват конц</w:t>
      </w:r>
      <w:r w:rsidR="00B02D98">
        <w:t>и</w:t>
      </w:r>
      <w:r>
        <w:t xml:space="preserve"> за зъби или интердентални четки в третираната зона в рамките на 2 дни</w:t>
      </w:r>
    </w:p>
    <w:p w14:paraId="19CD1807" w14:textId="2987DCC2" w:rsidR="00B13747" w:rsidRDefault="00B13747" w:rsidP="00B02D98">
      <w:pPr>
        <w:pStyle w:val="ListParagraph"/>
        <w:numPr>
          <w:ilvl w:val="0"/>
          <w:numId w:val="3"/>
        </w:numPr>
        <w:spacing w:after="0"/>
      </w:pPr>
      <w:r>
        <w:t xml:space="preserve">да </w:t>
      </w:r>
      <w:r w:rsidR="00B02D98">
        <w:t xml:space="preserve">се </w:t>
      </w:r>
      <w:r>
        <w:t>четка силно третираната зона в рамките на 2 дни</w:t>
      </w:r>
    </w:p>
    <w:p w14:paraId="6C1F8188" w14:textId="77777777" w:rsidR="00B13747" w:rsidRDefault="00B13747" w:rsidP="00B13747">
      <w:pPr>
        <w:spacing w:after="0"/>
      </w:pPr>
    </w:p>
    <w:p w14:paraId="709C0B6C" w14:textId="7BA5289E" w:rsidR="00B13747" w:rsidRDefault="00A86560" w:rsidP="00A86560">
      <w:pPr>
        <w:spacing w:after="0"/>
      </w:pPr>
      <w:r w:rsidRPr="00A86560">
        <w:t>Състав: вода, полоксамер 407, феноксиетанол, хиалуронова киселина, октенидин хидрохлорид.</w:t>
      </w:r>
      <w:r w:rsidRPr="00A86560">
        <w:t xml:space="preserve"> </w:t>
      </w:r>
    </w:p>
    <w:p w14:paraId="4E6AC260" w14:textId="77777777" w:rsidR="00B13747" w:rsidRDefault="00B13747" w:rsidP="00B13747">
      <w:pPr>
        <w:spacing w:after="0"/>
      </w:pPr>
    </w:p>
    <w:p w14:paraId="2D6F2EF6" w14:textId="59B729D0" w:rsidR="00B13747" w:rsidRDefault="00B13747" w:rsidP="00B13747">
      <w:pPr>
        <w:spacing w:after="0"/>
      </w:pPr>
      <w:r>
        <w:t>Предупреждения</w:t>
      </w:r>
      <w:r>
        <w:t>:</w:t>
      </w:r>
    </w:p>
    <w:p w14:paraId="1D696F9B" w14:textId="451D70B5" w:rsidR="00B13747" w:rsidRDefault="00B13747" w:rsidP="00B13747">
      <w:pPr>
        <w:spacing w:after="0"/>
      </w:pPr>
      <w:r>
        <w:t xml:space="preserve">Продуктът се използва само от </w:t>
      </w:r>
      <w:r w:rsidR="002B2DED">
        <w:t>дентален</w:t>
      </w:r>
      <w:r>
        <w:t xml:space="preserve"> специалист</w:t>
      </w:r>
      <w:r>
        <w:t>.</w:t>
      </w:r>
    </w:p>
    <w:p w14:paraId="70EB57C9" w14:textId="62CBF065" w:rsidR="00B13747" w:rsidRDefault="00B13747" w:rsidP="00B13747">
      <w:pPr>
        <w:spacing w:after="0"/>
      </w:pPr>
      <w:r>
        <w:t>Не е предназначен за домашно приложение</w:t>
      </w:r>
      <w:r>
        <w:t>.</w:t>
      </w:r>
    </w:p>
    <w:p w14:paraId="0F93A8FE" w14:textId="4FD7B9FF" w:rsidR="00B13747" w:rsidRDefault="00B13747" w:rsidP="00B13747">
      <w:pPr>
        <w:spacing w:after="0"/>
      </w:pPr>
      <w:r>
        <w:t>При поява на дискомфорт или необичайна реакция уведомете Вашия стоматолог</w:t>
      </w:r>
      <w:r>
        <w:t>.</w:t>
      </w:r>
    </w:p>
    <w:p w14:paraId="29A1C0A5" w14:textId="77777777" w:rsidR="00B13747" w:rsidRDefault="00B13747" w:rsidP="00B13747">
      <w:pPr>
        <w:spacing w:after="0"/>
      </w:pPr>
    </w:p>
    <w:p w14:paraId="3C8EFA45" w14:textId="100D2BCD" w:rsidR="00B13747" w:rsidRDefault="00B13747" w:rsidP="00B13747">
      <w:pPr>
        <w:spacing w:after="0"/>
      </w:pPr>
      <w:r>
        <w:t>Съхранение</w:t>
      </w:r>
      <w:r>
        <w:t>:</w:t>
      </w:r>
      <w:r w:rsidR="00FE13FC">
        <w:t xml:space="preserve"> </w:t>
      </w:r>
      <w:r>
        <w:t>Да се съхранява съгласно указанията на производителя и извън обсега на деца.</w:t>
      </w:r>
    </w:p>
    <w:p w14:paraId="64561117" w14:textId="77777777" w:rsidR="00FE13FC" w:rsidRDefault="00FE13FC" w:rsidP="00B13747">
      <w:pPr>
        <w:spacing w:after="0"/>
      </w:pPr>
    </w:p>
    <w:p w14:paraId="3C19513F" w14:textId="78B96EE3" w:rsidR="00DE4EAE" w:rsidRDefault="00DE4EAE" w:rsidP="00B13747">
      <w:pPr>
        <w:spacing w:after="0"/>
      </w:pPr>
      <w:r>
        <w:t>Важно: След употреба, изхвърлете в ко</w:t>
      </w:r>
      <w:r w:rsidR="002B2DED">
        <w:t>н</w:t>
      </w:r>
      <w:r>
        <w:t xml:space="preserve">тейнер за </w:t>
      </w:r>
      <w:r w:rsidR="00FE13FC" w:rsidRPr="00FE13FC">
        <w:t>биологични и опасни отпадъци</w:t>
      </w:r>
      <w:r w:rsidR="00FE13FC">
        <w:t>.</w:t>
      </w:r>
    </w:p>
    <w:sectPr w:rsidR="00DE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1E6"/>
    <w:multiLevelType w:val="hybridMultilevel"/>
    <w:tmpl w:val="0472FF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5BFD"/>
    <w:multiLevelType w:val="hybridMultilevel"/>
    <w:tmpl w:val="9F3AE5E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7100"/>
    <w:multiLevelType w:val="hybridMultilevel"/>
    <w:tmpl w:val="C180FE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47"/>
    <w:rsid w:val="0023685F"/>
    <w:rsid w:val="002B2DED"/>
    <w:rsid w:val="003E522F"/>
    <w:rsid w:val="00430DF0"/>
    <w:rsid w:val="00A86560"/>
    <w:rsid w:val="00B02D98"/>
    <w:rsid w:val="00B13747"/>
    <w:rsid w:val="00C63205"/>
    <w:rsid w:val="00D85DB0"/>
    <w:rsid w:val="00DE4EAE"/>
    <w:rsid w:val="00E16D6B"/>
    <w:rsid w:val="00FC7DA6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685B9"/>
  <w15:chartTrackingRefBased/>
  <w15:docId w15:val="{7653FA6B-35EC-4382-9CDE-A08219A1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2026-03-27T09:47:00Z</cp:lastPrinted>
  <dcterms:created xsi:type="dcterms:W3CDTF">2026-03-27T09:12:00Z</dcterms:created>
  <dcterms:modified xsi:type="dcterms:W3CDTF">2026-03-27T09:51:00Z</dcterms:modified>
</cp:coreProperties>
</file>