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F0378" w14:textId="77777777" w:rsidR="00432841" w:rsidRDefault="00432841" w:rsidP="00432841">
      <w:r>
        <w:t>Приложение</w:t>
      </w:r>
    </w:p>
    <w:p w14:paraId="4AB4EB4F" w14:textId="77777777" w:rsidR="00432841" w:rsidRDefault="00432841" w:rsidP="00432841"/>
    <w:p w14:paraId="19B411F0" w14:textId="77777777" w:rsidR="00432841" w:rsidRDefault="00432841" w:rsidP="00432841">
      <w:r>
        <w:t>Субстанция с фармакопейна чистота – отговаря на изискванията на Европейската фармакопея.</w:t>
      </w:r>
    </w:p>
    <w:p w14:paraId="2C20EEAB" w14:textId="77777777" w:rsidR="00432841" w:rsidRDefault="00432841" w:rsidP="00432841"/>
    <w:p w14:paraId="0670DEBB" w14:textId="77777777" w:rsidR="00432841" w:rsidRDefault="00432841" w:rsidP="00432841">
      <w:r>
        <w:t>Условия на съхранение</w:t>
      </w:r>
    </w:p>
    <w:p w14:paraId="331D5FC9" w14:textId="77777777" w:rsidR="00432841" w:rsidRDefault="00432841" w:rsidP="00432841"/>
    <w:p w14:paraId="2A59F6DA" w14:textId="08F0702C" w:rsidR="006940CE" w:rsidRDefault="00432841" w:rsidP="00432841">
      <w:r>
        <w:t>Съхранявайте в плътно затворен контейнер при температура не по-висока от 25</w:t>
      </w:r>
      <w:r>
        <w:rPr>
          <w:rFonts w:ascii="Cambria Math" w:hAnsi="Cambria Math" w:cs="Cambria Math"/>
        </w:rPr>
        <w:t>℃</w:t>
      </w:r>
      <w:r>
        <w:t>.</w:t>
      </w:r>
    </w:p>
    <w:sectPr w:rsidR="006940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841"/>
    <w:rsid w:val="00432841"/>
    <w:rsid w:val="006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3411D9"/>
  <w15:chartTrackingRefBased/>
  <w15:docId w15:val="{AC6D54E0-56C4-40C7-AC6C-EAFD06C4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2026-01-15T07:42:00Z</dcterms:created>
  <dcterms:modified xsi:type="dcterms:W3CDTF">2026-01-15T07:43:00Z</dcterms:modified>
</cp:coreProperties>
</file>